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4B" w:rsidRDefault="0065444B" w:rsidP="0065444B">
      <w:pPr>
        <w:rPr>
          <w:rFonts w:cstheme="minorHAnsi"/>
          <w:b/>
        </w:rPr>
      </w:pPr>
      <w:r>
        <w:rPr>
          <w:rFonts w:cstheme="minorHAnsi"/>
          <w:b/>
        </w:rPr>
        <w:t>OŠ ANTUNA MIHANOVIĆA PETROVSKO                     Broj RKP-a :15874</w:t>
      </w:r>
    </w:p>
    <w:p w:rsidR="0065444B" w:rsidRDefault="0065444B" w:rsidP="0065444B">
      <w:pPr>
        <w:rPr>
          <w:rFonts w:cstheme="minorHAnsi"/>
          <w:b/>
        </w:rPr>
      </w:pPr>
      <w:r>
        <w:rPr>
          <w:rFonts w:cstheme="minorHAnsi"/>
          <w:b/>
        </w:rPr>
        <w:t>PETROVSKO 58                                                                 Matični broj: 3079538</w:t>
      </w:r>
    </w:p>
    <w:p w:rsidR="0065444B" w:rsidRDefault="0065444B" w:rsidP="0065444B">
      <w:pPr>
        <w:rPr>
          <w:rFonts w:cstheme="minorHAnsi"/>
          <w:b/>
        </w:rPr>
      </w:pPr>
      <w:r>
        <w:rPr>
          <w:rFonts w:cstheme="minorHAnsi"/>
          <w:b/>
        </w:rPr>
        <w:t>49234 PETROVSKO                                                           OIB:29768513109</w:t>
      </w:r>
    </w:p>
    <w:p w:rsidR="0065444B" w:rsidRDefault="0065444B" w:rsidP="0065444B">
      <w:pPr>
        <w:rPr>
          <w:rFonts w:cstheme="minorHAnsi"/>
          <w:b/>
        </w:rPr>
      </w:pPr>
      <w:r>
        <w:rPr>
          <w:rFonts w:cstheme="minorHAnsi"/>
          <w:b/>
        </w:rPr>
        <w:t>Razina 31                                                                            Šifra djelatnosti prema NKD:8520</w:t>
      </w:r>
    </w:p>
    <w:p w:rsidR="0065444B" w:rsidRDefault="0065444B" w:rsidP="0065444B">
      <w:pPr>
        <w:rPr>
          <w:rFonts w:cstheme="minorHAnsi"/>
          <w:b/>
        </w:rPr>
      </w:pPr>
      <w:r>
        <w:rPr>
          <w:rFonts w:cstheme="minorHAnsi"/>
          <w:b/>
        </w:rPr>
        <w:t>Razdjel:</w:t>
      </w:r>
    </w:p>
    <w:p w:rsidR="0065444B" w:rsidRDefault="0065444B" w:rsidP="0065444B">
      <w:pPr>
        <w:rPr>
          <w:rFonts w:cstheme="minorHAnsi"/>
          <w:b/>
        </w:rPr>
      </w:pPr>
    </w:p>
    <w:p w:rsidR="0065444B" w:rsidRDefault="0065444B" w:rsidP="0065444B">
      <w:pPr>
        <w:rPr>
          <w:rFonts w:cstheme="minorHAnsi"/>
        </w:rPr>
      </w:pPr>
    </w:p>
    <w:p w:rsidR="0065444B" w:rsidRDefault="0065444B" w:rsidP="0065444B">
      <w:pPr>
        <w:jc w:val="center"/>
        <w:rPr>
          <w:rFonts w:cstheme="minorHAnsi"/>
        </w:rPr>
      </w:pPr>
      <w:r>
        <w:rPr>
          <w:rFonts w:cstheme="minorHAnsi"/>
          <w:b/>
        </w:rPr>
        <w:t>Bilješke uz temeljn</w:t>
      </w:r>
      <w:r w:rsidR="00996E8A">
        <w:rPr>
          <w:rFonts w:cstheme="minorHAnsi"/>
          <w:b/>
        </w:rPr>
        <w:t>e</w:t>
      </w:r>
      <w:r>
        <w:rPr>
          <w:rFonts w:cstheme="minorHAnsi"/>
          <w:b/>
        </w:rPr>
        <w:t xml:space="preserve"> financijske izvještaje za razdoblje 1.1.2019-30.6.2019. </w:t>
      </w:r>
    </w:p>
    <w:p w:rsidR="0065444B" w:rsidRDefault="0065444B" w:rsidP="0065444B">
      <w:pPr>
        <w:rPr>
          <w:rFonts w:cstheme="minorHAnsi"/>
        </w:rPr>
      </w:pPr>
    </w:p>
    <w:p w:rsidR="0065444B" w:rsidRDefault="0065444B" w:rsidP="0065444B">
      <w:pPr>
        <w:rPr>
          <w:rFonts w:cstheme="minorHAnsi"/>
          <w:b/>
          <w:sz w:val="20"/>
          <w:szCs w:val="20"/>
        </w:rPr>
      </w:pPr>
    </w:p>
    <w:p w:rsidR="0065444B" w:rsidRDefault="0065444B" w:rsidP="0065444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br.1.</w:t>
      </w:r>
    </w:p>
    <w:p w:rsidR="0065444B" w:rsidRDefault="0065444B" w:rsidP="0065444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PR-RAS AOP 067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714"/>
        <w:gridCol w:w="5533"/>
        <w:gridCol w:w="483"/>
        <w:gridCol w:w="1175"/>
        <w:gridCol w:w="1175"/>
      </w:tblGrid>
      <w:tr w:rsidR="0065444B" w:rsidRPr="0065444B" w:rsidTr="0065444B">
        <w:trPr>
          <w:trHeight w:val="268"/>
        </w:trPr>
        <w:tc>
          <w:tcPr>
            <w:tcW w:w="71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5444B" w:rsidRPr="0065444B" w:rsidRDefault="0065444B" w:rsidP="006544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444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6381</w:t>
            </w:r>
          </w:p>
        </w:tc>
        <w:tc>
          <w:tcPr>
            <w:tcW w:w="564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5444B" w:rsidRPr="0065444B" w:rsidRDefault="0065444B" w:rsidP="006544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444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temeljem prijenosa  EU sredstava</w:t>
            </w:r>
          </w:p>
        </w:tc>
        <w:tc>
          <w:tcPr>
            <w:tcW w:w="3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5444B" w:rsidRPr="0065444B" w:rsidRDefault="0065444B" w:rsidP="006544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544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067</w:t>
            </w:r>
          </w:p>
        </w:tc>
        <w:tc>
          <w:tcPr>
            <w:tcW w:w="11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65444B" w:rsidRPr="0065444B" w:rsidRDefault="0065444B" w:rsidP="0065444B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4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65444B" w:rsidRPr="0065444B" w:rsidRDefault="0065444B" w:rsidP="0065444B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4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101.989</w:t>
            </w:r>
          </w:p>
        </w:tc>
      </w:tr>
    </w:tbl>
    <w:p w:rsidR="0065444B" w:rsidRDefault="0065444B" w:rsidP="0065444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65444B" w:rsidRDefault="0065444B" w:rsidP="0065444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Iznos se odnosi na primljena sredstva od HZZ-a za financiranje 100% projekta iz EU , plaće pripravnika –psihologa. Ugovor je skupljen u lipnju 2019. Sredstva su uplaćena u istom razdoblju.</w:t>
      </w:r>
    </w:p>
    <w:p w:rsidR="0065444B" w:rsidRDefault="0065444B" w:rsidP="0065444B">
      <w:pPr>
        <w:rPr>
          <w:rFonts w:cstheme="minorHAnsi"/>
          <w:b/>
          <w:sz w:val="20"/>
          <w:szCs w:val="20"/>
        </w:rPr>
      </w:pPr>
    </w:p>
    <w:p w:rsidR="0065444B" w:rsidRDefault="0065444B" w:rsidP="0065444B">
      <w:pPr>
        <w:rPr>
          <w:rFonts w:cstheme="minorHAnsi"/>
          <w:b/>
          <w:sz w:val="20"/>
          <w:szCs w:val="20"/>
        </w:rPr>
      </w:pPr>
    </w:p>
    <w:p w:rsidR="0065444B" w:rsidRDefault="0065444B" w:rsidP="0065444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br.2</w:t>
      </w:r>
    </w:p>
    <w:p w:rsidR="0065444B" w:rsidRDefault="0065444B" w:rsidP="0065444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PR-RAS AOP 130-133                                                                                                                             2018.                2019.</w:t>
      </w:r>
    </w:p>
    <w:tbl>
      <w:tblPr>
        <w:tblW w:w="9215" w:type="dxa"/>
        <w:tblLook w:val="04A0" w:firstRow="1" w:lastRow="0" w:firstColumn="1" w:lastColumn="0" w:noHBand="0" w:noVBand="1"/>
      </w:tblPr>
      <w:tblGrid>
        <w:gridCol w:w="617"/>
        <w:gridCol w:w="5747"/>
        <w:gridCol w:w="483"/>
        <w:gridCol w:w="1192"/>
        <w:gridCol w:w="1192"/>
      </w:tblGrid>
      <w:tr w:rsidR="0065444B" w:rsidRPr="0065444B" w:rsidTr="0065444B">
        <w:trPr>
          <w:trHeight w:val="210"/>
        </w:trPr>
        <w:tc>
          <w:tcPr>
            <w:tcW w:w="7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5444B" w:rsidRPr="0065444B" w:rsidRDefault="0065444B" w:rsidP="006544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444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57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65444B" w:rsidRPr="0065444B" w:rsidRDefault="0065444B" w:rsidP="006544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444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iz nadležnog proračuna i od HZZO-a na temelju ugovornih obveza (AOP 131+135)</w:t>
            </w:r>
          </w:p>
        </w:tc>
        <w:tc>
          <w:tcPr>
            <w:tcW w:w="3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5444B" w:rsidRPr="0065444B" w:rsidRDefault="0065444B" w:rsidP="006544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544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</w:t>
            </w:r>
          </w:p>
        </w:tc>
        <w:tc>
          <w:tcPr>
            <w:tcW w:w="11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65444B" w:rsidRPr="0065444B" w:rsidRDefault="0065444B" w:rsidP="0065444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5444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256.711</w:t>
            </w:r>
          </w:p>
        </w:tc>
        <w:tc>
          <w:tcPr>
            <w:tcW w:w="11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65444B" w:rsidRPr="0065444B" w:rsidRDefault="0065444B" w:rsidP="0065444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5444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327.625</w:t>
            </w:r>
          </w:p>
        </w:tc>
      </w:tr>
      <w:tr w:rsidR="0065444B" w:rsidRPr="0065444B" w:rsidTr="0065444B">
        <w:trPr>
          <w:trHeight w:val="42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5444B" w:rsidRPr="0065444B" w:rsidRDefault="0065444B" w:rsidP="006544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444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5444B" w:rsidRPr="0065444B" w:rsidRDefault="0065444B" w:rsidP="006544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444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iz nadležnog proračuna za financiranje redovne djelatnosti proračunskih korisnika (AOP 132 do 134)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5444B" w:rsidRPr="0065444B" w:rsidRDefault="0065444B" w:rsidP="006544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544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65444B" w:rsidRPr="0065444B" w:rsidRDefault="0065444B" w:rsidP="0065444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5444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256.711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65444B" w:rsidRPr="0065444B" w:rsidRDefault="0065444B" w:rsidP="0065444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5444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327.625</w:t>
            </w:r>
          </w:p>
        </w:tc>
      </w:tr>
      <w:tr w:rsidR="0065444B" w:rsidRPr="0065444B" w:rsidTr="0065444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5444B" w:rsidRPr="0065444B" w:rsidRDefault="0065444B" w:rsidP="006544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444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6711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5444B" w:rsidRPr="0065444B" w:rsidRDefault="0065444B" w:rsidP="006544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444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iz  nadležnog proračuna za financiranje rashoda poslovanja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5444B" w:rsidRPr="0065444B" w:rsidRDefault="0065444B" w:rsidP="006544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544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65444B" w:rsidRPr="0065444B" w:rsidRDefault="0065444B" w:rsidP="0065444B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4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256.494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65444B" w:rsidRPr="0065444B" w:rsidRDefault="0065444B" w:rsidP="0065444B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4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322.109</w:t>
            </w:r>
          </w:p>
        </w:tc>
      </w:tr>
      <w:tr w:rsidR="0065444B" w:rsidRPr="0065444B" w:rsidTr="0065444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5444B" w:rsidRPr="0065444B" w:rsidRDefault="0065444B" w:rsidP="006544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444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6712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65444B" w:rsidRPr="0065444B" w:rsidRDefault="0065444B" w:rsidP="006544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444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5444B" w:rsidRPr="0065444B" w:rsidRDefault="0065444B" w:rsidP="006544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544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65444B" w:rsidRPr="0065444B" w:rsidRDefault="0065444B" w:rsidP="0065444B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4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65444B" w:rsidRPr="0065444B" w:rsidRDefault="0065444B" w:rsidP="0065444B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4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5.516</w:t>
            </w:r>
          </w:p>
        </w:tc>
      </w:tr>
    </w:tbl>
    <w:p w:rsidR="0065444B" w:rsidRDefault="0065444B" w:rsidP="0065444B">
      <w:pPr>
        <w:rPr>
          <w:rFonts w:cstheme="minorHAnsi"/>
          <w:b/>
          <w:sz w:val="20"/>
          <w:szCs w:val="20"/>
        </w:rPr>
      </w:pPr>
    </w:p>
    <w:p w:rsidR="0065444B" w:rsidRDefault="0065444B" w:rsidP="0065444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Iznos doznačene decentralizacije iznosi 305.809,72 kn </w:t>
      </w:r>
    </w:p>
    <w:p w:rsidR="00095DBF" w:rsidRDefault="0065444B" w:rsidP="0065444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Izvorna sredstva iznose 21.814,96 kn </w:t>
      </w:r>
      <w:r w:rsidR="00095DBF">
        <w:rPr>
          <w:rFonts w:cstheme="minorHAnsi"/>
          <w:b/>
          <w:sz w:val="20"/>
          <w:szCs w:val="20"/>
        </w:rPr>
        <w:t xml:space="preserve">, utrošena su;  </w:t>
      </w:r>
    </w:p>
    <w:p w:rsidR="00095DBF" w:rsidRDefault="00095DBF" w:rsidP="0065444B">
      <w:pPr>
        <w:rPr>
          <w:rFonts w:cstheme="minorHAnsi"/>
          <w:b/>
          <w:sz w:val="20"/>
          <w:szCs w:val="20"/>
        </w:rPr>
      </w:pPr>
    </w:p>
    <w:p w:rsidR="0065444B" w:rsidRDefault="00095DBF" w:rsidP="0065444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KONTO                    IZNOS</w:t>
      </w:r>
    </w:p>
    <w:p w:rsidR="00095DBF" w:rsidRDefault="00095DBF" w:rsidP="0065444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32224                    </w:t>
      </w:r>
      <w:r w:rsidR="00996E8A">
        <w:rPr>
          <w:rFonts w:cstheme="minorHAnsi"/>
          <w:b/>
          <w:sz w:val="20"/>
          <w:szCs w:val="20"/>
        </w:rPr>
        <w:t xml:space="preserve">11.465,12 </w:t>
      </w:r>
      <w:r>
        <w:rPr>
          <w:rFonts w:cstheme="minorHAnsi"/>
          <w:b/>
          <w:sz w:val="20"/>
          <w:szCs w:val="20"/>
        </w:rPr>
        <w:t xml:space="preserve"> (Zalogajček)</w:t>
      </w:r>
    </w:p>
    <w:p w:rsidR="008012A7" w:rsidRDefault="008012A7" w:rsidP="0065444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32111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1.020,00 (Školska natjecanja)</w:t>
      </w:r>
    </w:p>
    <w:p w:rsidR="008012A7" w:rsidRDefault="008012A7" w:rsidP="0065444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32115                        754,84 (Školska natjecanja)</w:t>
      </w:r>
    </w:p>
    <w:p w:rsidR="008012A7" w:rsidRDefault="008012A7" w:rsidP="0065444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32219                        994,24   (Radionice)</w:t>
      </w:r>
    </w:p>
    <w:p w:rsidR="008012A7" w:rsidRDefault="008012A7" w:rsidP="0065444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32224                          205,76 (Radionice)</w:t>
      </w:r>
    </w:p>
    <w:p w:rsidR="00095DBF" w:rsidRDefault="008012A7" w:rsidP="0065444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32322                        7.00,00  (Hitna Intervencija)</w:t>
      </w:r>
    </w:p>
    <w:p w:rsidR="008012A7" w:rsidRDefault="008012A7" w:rsidP="0065444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Neutrošeno je 375,00 kn za školu plivanja, realizacija srpanj 2019.</w:t>
      </w:r>
    </w:p>
    <w:p w:rsidR="0065444B" w:rsidRDefault="0065444B" w:rsidP="0065444B">
      <w:pPr>
        <w:rPr>
          <w:rFonts w:cstheme="minorHAnsi"/>
          <w:b/>
          <w:sz w:val="20"/>
          <w:szCs w:val="20"/>
        </w:rPr>
      </w:pPr>
    </w:p>
    <w:p w:rsidR="008012A7" w:rsidRDefault="008012A7" w:rsidP="0065444B">
      <w:pPr>
        <w:rPr>
          <w:rFonts w:cstheme="minorHAnsi"/>
          <w:b/>
          <w:sz w:val="20"/>
          <w:szCs w:val="20"/>
        </w:rPr>
      </w:pPr>
    </w:p>
    <w:p w:rsidR="008D39C2" w:rsidRDefault="008D39C2" w:rsidP="0065444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Bilješka br.3 </w:t>
      </w:r>
    </w:p>
    <w:p w:rsidR="0065444B" w:rsidRDefault="0065444B" w:rsidP="0065444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PR-RAS (AOP </w:t>
      </w:r>
      <w:r w:rsidR="008D39C2">
        <w:rPr>
          <w:rFonts w:cstheme="minorHAnsi"/>
          <w:b/>
          <w:sz w:val="20"/>
          <w:szCs w:val="20"/>
        </w:rPr>
        <w:t>635-637</w:t>
      </w:r>
      <w:r>
        <w:rPr>
          <w:rFonts w:cstheme="minorHAnsi"/>
          <w:b/>
          <w:sz w:val="20"/>
          <w:szCs w:val="20"/>
        </w:rPr>
        <w:t>)</w:t>
      </w:r>
    </w:p>
    <w:tbl>
      <w:tblPr>
        <w:tblW w:w="8541" w:type="dxa"/>
        <w:tblLook w:val="04A0" w:firstRow="1" w:lastRow="0" w:firstColumn="1" w:lastColumn="0" w:noHBand="0" w:noVBand="1"/>
      </w:tblPr>
      <w:tblGrid>
        <w:gridCol w:w="6645"/>
        <w:gridCol w:w="483"/>
        <w:gridCol w:w="1413"/>
      </w:tblGrid>
      <w:tr w:rsidR="008D39C2" w:rsidRPr="008D39C2" w:rsidTr="008D39C2">
        <w:trPr>
          <w:trHeight w:val="196"/>
        </w:trPr>
        <w:tc>
          <w:tcPr>
            <w:tcW w:w="6645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8D39C2" w:rsidRPr="008D39C2" w:rsidRDefault="008D39C2" w:rsidP="008D39C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D39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i primitaka raspoloživ u sljed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ećem razdoblju </w:t>
            </w:r>
          </w:p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8D39C2" w:rsidRPr="008D39C2" w:rsidRDefault="008D39C2" w:rsidP="008D39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39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635</w:t>
            </w:r>
          </w:p>
        </w:tc>
        <w:tc>
          <w:tcPr>
            <w:tcW w:w="14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8D39C2" w:rsidRPr="008D39C2" w:rsidRDefault="008D39C2" w:rsidP="008D39C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D39C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103.850</w:t>
            </w:r>
          </w:p>
        </w:tc>
      </w:tr>
      <w:tr w:rsidR="008D39C2" w:rsidRPr="008D39C2" w:rsidTr="008D39C2">
        <w:trPr>
          <w:trHeight w:val="392"/>
        </w:trPr>
        <w:tc>
          <w:tcPr>
            <w:tcW w:w="6645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hideMark/>
          </w:tcPr>
          <w:p w:rsidR="008D39C2" w:rsidRPr="008D39C2" w:rsidRDefault="008D39C2" w:rsidP="008D39C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D39C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Unaprijed plaćeni rashodi budućih razdoblja i nedospjela naplata prihoda (aktivna vremenska razgraničenja)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hideMark/>
          </w:tcPr>
          <w:p w:rsidR="008D39C2" w:rsidRPr="008D39C2" w:rsidRDefault="008D39C2" w:rsidP="008D39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39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hideMark/>
          </w:tcPr>
          <w:p w:rsidR="008D39C2" w:rsidRPr="008D39C2" w:rsidRDefault="008D39C2" w:rsidP="008D39C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39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286.609</w:t>
            </w:r>
          </w:p>
        </w:tc>
      </w:tr>
    </w:tbl>
    <w:p w:rsidR="008D39C2" w:rsidRDefault="008D39C2" w:rsidP="0065444B">
      <w:pPr>
        <w:spacing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8D39C2" w:rsidRDefault="008D39C2" w:rsidP="0065444B">
      <w:pPr>
        <w:spacing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65444B" w:rsidRDefault="0065444B" w:rsidP="008D39C2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Višak prihoda </w:t>
      </w:r>
      <w:r w:rsidR="008D39C2">
        <w:rPr>
          <w:rFonts w:eastAsia="Times New Roman" w:cstheme="minorHAnsi"/>
          <w:sz w:val="20"/>
          <w:szCs w:val="20"/>
          <w:lang w:eastAsia="hr-HR"/>
        </w:rPr>
        <w:t xml:space="preserve">odnosi se na </w:t>
      </w:r>
      <w:r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8D39C2">
        <w:rPr>
          <w:rFonts w:eastAsia="Times New Roman" w:cstheme="minorHAnsi"/>
          <w:sz w:val="20"/>
          <w:szCs w:val="20"/>
          <w:lang w:eastAsia="hr-HR"/>
        </w:rPr>
        <w:t>neutrošena</w:t>
      </w:r>
      <w:r>
        <w:rPr>
          <w:rFonts w:eastAsia="Times New Roman" w:cstheme="minorHAnsi"/>
          <w:sz w:val="20"/>
          <w:szCs w:val="20"/>
          <w:lang w:eastAsia="hr-HR"/>
        </w:rPr>
        <w:t xml:space="preserve"> sredstava od </w:t>
      </w:r>
      <w:r w:rsidR="008D39C2">
        <w:rPr>
          <w:rFonts w:eastAsia="Times New Roman" w:cstheme="minorHAnsi"/>
          <w:sz w:val="20"/>
          <w:szCs w:val="20"/>
          <w:lang w:eastAsia="hr-HR"/>
        </w:rPr>
        <w:t>HZZ-a za plaće pripravnika.</w:t>
      </w:r>
    </w:p>
    <w:p w:rsidR="008D39C2" w:rsidRDefault="008D39C2" w:rsidP="008D39C2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hr-HR"/>
        </w:rPr>
        <w:t>Rashodi budućih razdoblja su rashodi za plaće za 06/2019.g</w:t>
      </w:r>
    </w:p>
    <w:p w:rsidR="0065444B" w:rsidRDefault="0065444B" w:rsidP="0065444B">
      <w:pPr>
        <w:rPr>
          <w:rFonts w:cstheme="minorHAnsi"/>
          <w:b/>
          <w:sz w:val="20"/>
          <w:szCs w:val="20"/>
        </w:rPr>
      </w:pPr>
    </w:p>
    <w:p w:rsidR="0065444B" w:rsidRDefault="0065444B" w:rsidP="0065444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 11.</w:t>
      </w:r>
    </w:p>
    <w:p w:rsidR="0065444B" w:rsidRDefault="0065444B" w:rsidP="0065444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Stanje nedospjelih obveza na kraju izvještajnog razdoblja. AOP 090</w:t>
      </w:r>
    </w:p>
    <w:p w:rsidR="0065444B" w:rsidRDefault="0065444B" w:rsidP="0065444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Iznos obveza odnosi se na obveze za plaću i materijalne rashode. </w:t>
      </w:r>
    </w:p>
    <w:p w:rsidR="0065444B" w:rsidRDefault="0065444B" w:rsidP="0065444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U tablici su dani usporedni podaci 2019. i 2018. godine                                                                                                                                          </w:t>
      </w:r>
    </w:p>
    <w:tbl>
      <w:tblPr>
        <w:tblStyle w:val="Reetkatablice"/>
        <w:tblpPr w:leftFromText="180" w:rightFromText="180" w:bottomFromText="160" w:vertAnchor="text" w:horzAnchor="page" w:tblpX="2251" w:tblpY="758"/>
        <w:tblW w:w="6286" w:type="dxa"/>
        <w:tblLook w:val="04A0" w:firstRow="1" w:lastRow="0" w:firstColumn="1" w:lastColumn="0" w:noHBand="0" w:noVBand="1"/>
      </w:tblPr>
      <w:tblGrid>
        <w:gridCol w:w="917"/>
        <w:gridCol w:w="3086"/>
        <w:gridCol w:w="493"/>
        <w:gridCol w:w="814"/>
        <w:gridCol w:w="976"/>
      </w:tblGrid>
      <w:tr w:rsidR="0065444B" w:rsidTr="00996E8A">
        <w:trPr>
          <w:trHeight w:val="178"/>
        </w:trPr>
        <w:tc>
          <w:tcPr>
            <w:tcW w:w="628" w:type="dxa"/>
            <w:hideMark/>
          </w:tcPr>
          <w:p w:rsidR="0065444B" w:rsidRDefault="00996E8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Skupina</w:t>
            </w:r>
          </w:p>
        </w:tc>
        <w:tc>
          <w:tcPr>
            <w:tcW w:w="3348" w:type="dxa"/>
            <w:hideMark/>
          </w:tcPr>
          <w:p w:rsidR="0065444B" w:rsidRDefault="0065444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nedospjelih obveza na kraju izvještajnog razdoblja (AOP 091 do 094)</w:t>
            </w:r>
          </w:p>
        </w:tc>
        <w:tc>
          <w:tcPr>
            <w:tcW w:w="494" w:type="dxa"/>
            <w:hideMark/>
          </w:tcPr>
          <w:p w:rsidR="0065444B" w:rsidRDefault="0065444B">
            <w:pPr>
              <w:spacing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  <w:t>090</w:t>
            </w:r>
          </w:p>
        </w:tc>
        <w:tc>
          <w:tcPr>
            <w:tcW w:w="814" w:type="dxa"/>
          </w:tcPr>
          <w:p w:rsidR="008D39C2" w:rsidRPr="008D39C2" w:rsidRDefault="008D39C2" w:rsidP="008D39C2">
            <w:pPr>
              <w:spacing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D39C2">
              <w:rPr>
                <w:rFonts w:ascii="Arial CE" w:eastAsia="Times New Roman" w:hAnsi="Arial CE" w:cs="Arial"/>
                <w:b/>
                <w:bCs/>
                <w:color w:val="000080"/>
                <w:sz w:val="16"/>
                <w:szCs w:val="16"/>
                <w:lang w:eastAsia="hr-HR"/>
              </w:rPr>
              <w:t>263.588</w:t>
            </w:r>
          </w:p>
          <w:p w:rsidR="0065444B" w:rsidRDefault="0065444B" w:rsidP="008D39C2">
            <w:pPr>
              <w:spacing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000080"/>
                <w:sz w:val="16"/>
                <w:szCs w:val="16"/>
                <w:lang w:eastAsia="hr-HR"/>
              </w:rPr>
            </w:pPr>
          </w:p>
        </w:tc>
        <w:tc>
          <w:tcPr>
            <w:tcW w:w="1002" w:type="dxa"/>
          </w:tcPr>
          <w:p w:rsidR="0065444B" w:rsidRDefault="008D39C2">
            <w:pPr>
              <w:spacing w:after="160" w:line="256" w:lineRule="auto"/>
              <w:jc w:val="right"/>
              <w:rPr>
                <w:rFonts w:ascii="Arial CE" w:eastAsia="Times New Roman" w:hAnsi="Arial CE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>
              <w:rPr>
                <w:rFonts w:ascii="Arial CE" w:eastAsia="Times New Roman" w:hAnsi="Arial CE" w:cs="Arial"/>
                <w:b/>
                <w:bCs/>
                <w:color w:val="000080"/>
                <w:sz w:val="16"/>
                <w:szCs w:val="16"/>
                <w:lang w:eastAsia="hr-HR"/>
              </w:rPr>
              <w:t>319.737</w:t>
            </w:r>
          </w:p>
        </w:tc>
      </w:tr>
      <w:tr w:rsidR="0065444B" w:rsidTr="00996E8A">
        <w:trPr>
          <w:trHeight w:val="178"/>
        </w:trPr>
        <w:tc>
          <w:tcPr>
            <w:tcW w:w="628" w:type="dxa"/>
            <w:hideMark/>
          </w:tcPr>
          <w:p w:rsidR="0065444B" w:rsidRDefault="006544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48" w:type="dxa"/>
            <w:hideMark/>
          </w:tcPr>
          <w:p w:rsidR="0065444B" w:rsidRDefault="006544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Međusobne obveze proračunskih    korisnika</w:t>
            </w:r>
          </w:p>
        </w:tc>
        <w:tc>
          <w:tcPr>
            <w:tcW w:w="494" w:type="dxa"/>
            <w:hideMark/>
          </w:tcPr>
          <w:p w:rsidR="0065444B" w:rsidRDefault="0065444B">
            <w:pPr>
              <w:spacing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814" w:type="dxa"/>
            <w:noWrap/>
          </w:tcPr>
          <w:p w:rsidR="0065444B" w:rsidRPr="00996E8A" w:rsidRDefault="008D39C2" w:rsidP="00996E8A">
            <w:pPr>
              <w:spacing w:after="160" w:line="256" w:lineRule="auto"/>
              <w:jc w:val="right"/>
              <w:rPr>
                <w:rFonts w:ascii="Arial CE" w:eastAsia="Times New Roman" w:hAnsi="Arial CE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96E8A">
              <w:rPr>
                <w:rFonts w:ascii="Arial CE" w:eastAsia="Times New Roman" w:hAnsi="Arial CE" w:cs="Arial"/>
                <w:b/>
                <w:bCs/>
                <w:color w:val="000080"/>
                <w:sz w:val="16"/>
                <w:szCs w:val="16"/>
                <w:lang w:eastAsia="hr-HR"/>
              </w:rPr>
              <w:t>978</w:t>
            </w:r>
          </w:p>
        </w:tc>
        <w:tc>
          <w:tcPr>
            <w:tcW w:w="1002" w:type="dxa"/>
          </w:tcPr>
          <w:p w:rsidR="0065444B" w:rsidRDefault="008D39C2" w:rsidP="008D39C2">
            <w:pPr>
              <w:spacing w:after="160" w:line="256" w:lineRule="auto"/>
              <w:jc w:val="center"/>
              <w:rPr>
                <w:rFonts w:ascii="Arial CE" w:eastAsia="Times New Roman" w:hAnsi="Arial CE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>
              <w:rPr>
                <w:rFonts w:ascii="Arial CE" w:eastAsia="Times New Roman" w:hAnsi="Arial CE" w:cs="Arial"/>
                <w:b/>
                <w:bCs/>
                <w:color w:val="000080"/>
                <w:sz w:val="16"/>
                <w:szCs w:val="16"/>
                <w:lang w:eastAsia="hr-HR"/>
              </w:rPr>
              <w:t xml:space="preserve">      28.487</w:t>
            </w:r>
          </w:p>
        </w:tc>
      </w:tr>
      <w:tr w:rsidR="0065444B" w:rsidTr="00996E8A">
        <w:trPr>
          <w:trHeight w:val="178"/>
        </w:trPr>
        <w:tc>
          <w:tcPr>
            <w:tcW w:w="628" w:type="dxa"/>
            <w:hideMark/>
          </w:tcPr>
          <w:p w:rsidR="0065444B" w:rsidRDefault="006544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3348" w:type="dxa"/>
            <w:hideMark/>
          </w:tcPr>
          <w:p w:rsidR="0065444B" w:rsidRDefault="006544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rashode poslovanja</w:t>
            </w:r>
          </w:p>
        </w:tc>
        <w:tc>
          <w:tcPr>
            <w:tcW w:w="494" w:type="dxa"/>
            <w:hideMark/>
          </w:tcPr>
          <w:p w:rsidR="0065444B" w:rsidRDefault="0065444B">
            <w:pPr>
              <w:spacing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  <w:t>092</w:t>
            </w:r>
          </w:p>
        </w:tc>
        <w:tc>
          <w:tcPr>
            <w:tcW w:w="814" w:type="dxa"/>
            <w:noWrap/>
          </w:tcPr>
          <w:p w:rsidR="0065444B" w:rsidRPr="00996E8A" w:rsidRDefault="008D39C2" w:rsidP="00996E8A">
            <w:pPr>
              <w:spacing w:after="160" w:line="256" w:lineRule="auto"/>
              <w:jc w:val="right"/>
              <w:rPr>
                <w:rFonts w:ascii="Arial CE" w:eastAsia="Times New Roman" w:hAnsi="Arial CE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96E8A">
              <w:rPr>
                <w:rFonts w:ascii="Arial CE" w:eastAsia="Times New Roman" w:hAnsi="Arial CE" w:cs="Arial"/>
                <w:b/>
                <w:bCs/>
                <w:color w:val="000080"/>
                <w:sz w:val="16"/>
                <w:szCs w:val="16"/>
                <w:lang w:eastAsia="hr-HR"/>
              </w:rPr>
              <w:t>262.610</w:t>
            </w:r>
          </w:p>
        </w:tc>
        <w:tc>
          <w:tcPr>
            <w:tcW w:w="1002" w:type="dxa"/>
          </w:tcPr>
          <w:p w:rsidR="0065444B" w:rsidRDefault="008D39C2">
            <w:pPr>
              <w:spacing w:after="160" w:line="256" w:lineRule="auto"/>
              <w:rPr>
                <w:rFonts w:ascii="Arial CE" w:eastAsia="Times New Roman" w:hAnsi="Arial CE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>
              <w:rPr>
                <w:rFonts w:ascii="Arial CE" w:eastAsia="Times New Roman" w:hAnsi="Arial CE" w:cs="Arial"/>
                <w:b/>
                <w:bCs/>
                <w:color w:val="000080"/>
                <w:sz w:val="16"/>
                <w:szCs w:val="16"/>
                <w:lang w:eastAsia="hr-HR"/>
              </w:rPr>
              <w:t xml:space="preserve">    291.250</w:t>
            </w:r>
          </w:p>
        </w:tc>
      </w:tr>
      <w:tr w:rsidR="0065444B" w:rsidTr="00996E8A">
        <w:trPr>
          <w:trHeight w:val="178"/>
        </w:trPr>
        <w:tc>
          <w:tcPr>
            <w:tcW w:w="628" w:type="dxa"/>
            <w:hideMark/>
          </w:tcPr>
          <w:p w:rsidR="0065444B" w:rsidRDefault="006544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3348" w:type="dxa"/>
            <w:hideMark/>
          </w:tcPr>
          <w:p w:rsidR="0065444B" w:rsidRDefault="006544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nabavu nefinancijske imovine</w:t>
            </w:r>
          </w:p>
        </w:tc>
        <w:tc>
          <w:tcPr>
            <w:tcW w:w="494" w:type="dxa"/>
            <w:hideMark/>
          </w:tcPr>
          <w:p w:rsidR="0065444B" w:rsidRDefault="0065444B">
            <w:pPr>
              <w:spacing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  <w:t>093</w:t>
            </w:r>
          </w:p>
        </w:tc>
        <w:tc>
          <w:tcPr>
            <w:tcW w:w="814" w:type="dxa"/>
            <w:noWrap/>
          </w:tcPr>
          <w:p w:rsidR="0065444B" w:rsidRDefault="0065444B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02" w:type="dxa"/>
          </w:tcPr>
          <w:p w:rsidR="0065444B" w:rsidRDefault="006544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5444B" w:rsidRDefault="0065444B" w:rsidP="0065444B">
      <w:pPr>
        <w:rPr>
          <w:rFonts w:cstheme="minorHAnsi"/>
          <w:sz w:val="20"/>
          <w:szCs w:val="20"/>
        </w:rPr>
      </w:pPr>
    </w:p>
    <w:p w:rsidR="0065444B" w:rsidRDefault="0065444B" w:rsidP="0065444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</w:t>
      </w:r>
      <w:r w:rsidR="008D39C2">
        <w:rPr>
          <w:rFonts w:cstheme="minorHAnsi"/>
          <w:sz w:val="20"/>
          <w:szCs w:val="20"/>
        </w:rPr>
        <w:t xml:space="preserve">                     2018.        </w:t>
      </w:r>
      <w:r w:rsidR="00996E8A">
        <w:rPr>
          <w:rFonts w:cstheme="minorHAnsi"/>
          <w:sz w:val="20"/>
          <w:szCs w:val="20"/>
        </w:rPr>
        <w:t xml:space="preserve">   </w:t>
      </w:r>
      <w:r w:rsidR="008D39C2">
        <w:rPr>
          <w:rFonts w:cstheme="minorHAnsi"/>
          <w:sz w:val="20"/>
          <w:szCs w:val="20"/>
        </w:rPr>
        <w:t>2019.</w:t>
      </w:r>
    </w:p>
    <w:p w:rsidR="0065444B" w:rsidRDefault="0065444B" w:rsidP="0065444B">
      <w:pPr>
        <w:rPr>
          <w:rFonts w:cstheme="minorHAnsi"/>
          <w:b/>
          <w:sz w:val="20"/>
          <w:szCs w:val="20"/>
        </w:rPr>
      </w:pPr>
    </w:p>
    <w:p w:rsidR="0065444B" w:rsidRDefault="0065444B" w:rsidP="0065444B">
      <w:pPr>
        <w:rPr>
          <w:rFonts w:cstheme="minorHAnsi"/>
          <w:sz w:val="20"/>
          <w:szCs w:val="20"/>
        </w:rPr>
      </w:pPr>
    </w:p>
    <w:p w:rsidR="008B7E69" w:rsidRDefault="008B7E69"/>
    <w:p w:rsidR="00996E8A" w:rsidRDefault="00996E8A"/>
    <w:p w:rsidR="00996E8A" w:rsidRDefault="00996E8A"/>
    <w:p w:rsidR="00996E8A" w:rsidRDefault="00996E8A"/>
    <w:p w:rsidR="00996E8A" w:rsidRDefault="00996E8A"/>
    <w:p w:rsidR="00996E8A" w:rsidRDefault="00394133">
      <w:r>
        <w:t>Bilješka br.12.</w:t>
      </w:r>
    </w:p>
    <w:p w:rsidR="00394133" w:rsidRDefault="00394133">
      <w:r>
        <w:t>AOP 116 . Ostali nespomenuti prihodi.</w:t>
      </w:r>
    </w:p>
    <w:p w:rsidR="00394133" w:rsidRDefault="00394133">
      <w:r>
        <w:t xml:space="preserve">U 2019. godini bilo je manje uplata od strane roditelja za izlete, jer su se izleti djelomično financirali iz primljenih donacija. </w:t>
      </w:r>
      <w:r w:rsidR="00001A07">
        <w:t xml:space="preserve">To </w:t>
      </w:r>
      <w:r>
        <w:t xml:space="preserve"> se odrazilo i na AOP 128</w:t>
      </w:r>
      <w:r w:rsidR="00001A07">
        <w:t>,</w:t>
      </w:r>
      <w:r>
        <w:t xml:space="preserve"> </w:t>
      </w:r>
      <w:r w:rsidR="00001A07">
        <w:t xml:space="preserve"> donacije </w:t>
      </w:r>
      <w:r>
        <w:t>s obzirom na prošlu godinu.</w:t>
      </w:r>
    </w:p>
    <w:p w:rsidR="00394133" w:rsidRDefault="00394133"/>
    <w:p w:rsidR="00394133" w:rsidRDefault="00394133">
      <w:r>
        <w:t>Bilješka br.13.</w:t>
      </w:r>
    </w:p>
    <w:p w:rsidR="00394133" w:rsidRDefault="00001A07">
      <w:r>
        <w:t xml:space="preserve">AOP 153 </w:t>
      </w:r>
      <w:bookmarkStart w:id="0" w:name="_GoBack"/>
      <w:bookmarkEnd w:id="0"/>
      <w:r w:rsidR="00394133">
        <w:t>prekovremeni rad</w:t>
      </w:r>
    </w:p>
    <w:p w:rsidR="00394133" w:rsidRDefault="00394133">
      <w:r>
        <w:t xml:space="preserve">Prekovremeni radi odnosi se na </w:t>
      </w:r>
      <w:r w:rsidR="0047296B">
        <w:t xml:space="preserve">održavanje </w:t>
      </w:r>
      <w:r>
        <w:t>nastav</w:t>
      </w:r>
      <w:r w:rsidR="0047296B">
        <w:t>e</w:t>
      </w:r>
      <w:r>
        <w:t xml:space="preserve"> u kući, koje prijašnjih godina nije bilo.</w:t>
      </w:r>
    </w:p>
    <w:p w:rsidR="0047296B" w:rsidRDefault="0047296B"/>
    <w:p w:rsidR="0047296B" w:rsidRDefault="0047296B">
      <w:r>
        <w:t>Bilješka br.14</w:t>
      </w:r>
    </w:p>
    <w:p w:rsidR="0047296B" w:rsidRDefault="0047296B">
      <w:r>
        <w:t>AOP 162. službena putovanja.</w:t>
      </w:r>
    </w:p>
    <w:p w:rsidR="0047296B" w:rsidRDefault="0047296B">
      <w:r>
        <w:t xml:space="preserve">Povećani iznos odnosi se na seminare i tečajeve zbog provođenja </w:t>
      </w:r>
      <w:proofErr w:type="spellStart"/>
      <w:r>
        <w:t>kurikularne</w:t>
      </w:r>
      <w:proofErr w:type="spellEnd"/>
      <w:r>
        <w:t xml:space="preserve"> reforme za novu šk. godinu 2019./2020.</w:t>
      </w:r>
    </w:p>
    <w:p w:rsidR="0047296B" w:rsidRDefault="0047296B"/>
    <w:p w:rsidR="0047296B" w:rsidRDefault="0047296B"/>
    <w:p w:rsidR="0047296B" w:rsidRDefault="0047296B"/>
    <w:p w:rsidR="0047296B" w:rsidRDefault="0047296B">
      <w:r>
        <w:lastRenderedPageBreak/>
        <w:t>Bilješka br.15</w:t>
      </w:r>
    </w:p>
    <w:p w:rsidR="0047296B" w:rsidRDefault="0047296B">
      <w:r>
        <w:t>AOP 169 Energija</w:t>
      </w:r>
    </w:p>
    <w:p w:rsidR="0047296B" w:rsidRDefault="0047296B">
      <w:r>
        <w:t>Zbog promjene opskrbljivača i slabije zime troškovi energenata su znatno manji s obzirom na prošlu godinu.</w:t>
      </w:r>
    </w:p>
    <w:p w:rsidR="0047296B" w:rsidRDefault="0047296B"/>
    <w:p w:rsidR="0047296B" w:rsidRDefault="0047296B">
      <w:r>
        <w:t>Bilješka br.16.</w:t>
      </w:r>
    </w:p>
    <w:p w:rsidR="0047296B" w:rsidRDefault="0047296B" w:rsidP="0047296B">
      <w:r>
        <w:t xml:space="preserve">AOP 175 </w:t>
      </w:r>
      <w:r w:rsidRPr="0047296B">
        <w:t>Usluge telefona, pošte i prijevoza</w:t>
      </w:r>
    </w:p>
    <w:p w:rsidR="0047296B" w:rsidRDefault="0047296B" w:rsidP="0047296B">
      <w:r>
        <w:t>Zbog povećane cijene prijevoza učenika u šk. god. 2018.2020. troškovi prijevoza znatno su porasli s obzirom na prošlu godinu.</w:t>
      </w:r>
    </w:p>
    <w:p w:rsidR="00A337F1" w:rsidRDefault="00A337F1" w:rsidP="0047296B"/>
    <w:p w:rsidR="00A337F1" w:rsidRDefault="00A337F1" w:rsidP="0047296B">
      <w:r>
        <w:t>Bilješka br. 17.</w:t>
      </w:r>
    </w:p>
    <w:p w:rsidR="00A337F1" w:rsidRDefault="00A337F1" w:rsidP="0047296B">
      <w:r>
        <w:t>AOP 183 Ostale usluge</w:t>
      </w:r>
    </w:p>
    <w:p w:rsidR="00A337F1" w:rsidRDefault="00A337F1" w:rsidP="0047296B">
      <w:r>
        <w:t>Povećani rashodi s obzirom na prošlu godinu rezultat su organizacije izleta u aranžmanu škole i povećan broj terenskih nastavi.</w:t>
      </w:r>
    </w:p>
    <w:p w:rsidR="00A337F1" w:rsidRDefault="00A337F1" w:rsidP="0047296B"/>
    <w:p w:rsidR="00A337F1" w:rsidRDefault="00A337F1" w:rsidP="0047296B">
      <w:r>
        <w:t>Bilješka br.18.</w:t>
      </w:r>
    </w:p>
    <w:p w:rsidR="00A337F1" w:rsidRDefault="00A337F1" w:rsidP="0047296B">
      <w:r>
        <w:t>AOP 190 Pristojbe i naknade</w:t>
      </w:r>
    </w:p>
    <w:p w:rsidR="00A337F1" w:rsidRDefault="00A337F1" w:rsidP="0047296B">
      <w:r>
        <w:t>Iznos naknada odnosi se na provjeru diploma djelatnika koje u 2018. godine nije bilo.</w:t>
      </w:r>
    </w:p>
    <w:p w:rsidR="00A337F1" w:rsidRDefault="00A337F1" w:rsidP="0047296B"/>
    <w:p w:rsidR="00A337F1" w:rsidRDefault="00A337F1" w:rsidP="0047296B">
      <w:r>
        <w:t>Bilješka br.19</w:t>
      </w:r>
    </w:p>
    <w:p w:rsidR="00A337F1" w:rsidRDefault="00A337F1" w:rsidP="0047296B">
      <w:r>
        <w:t>AOP 289 prihodi od prodaje nefinancijske imovine</w:t>
      </w:r>
    </w:p>
    <w:p w:rsidR="00A337F1" w:rsidRDefault="00A337F1" w:rsidP="0047296B">
      <w:r>
        <w:t>Otplaćen su zadnje rate stanova  na kojim postoji stanarsko pravo u mjesecu  veljači 2019. godine.</w:t>
      </w:r>
    </w:p>
    <w:p w:rsidR="00A337F1" w:rsidRDefault="00A337F1" w:rsidP="0047296B"/>
    <w:p w:rsidR="00A337F1" w:rsidRDefault="00A337F1" w:rsidP="0047296B">
      <w:r>
        <w:t>Bilješka br.20</w:t>
      </w:r>
    </w:p>
    <w:p w:rsidR="00A337F1" w:rsidRDefault="00A337F1" w:rsidP="0047296B">
      <w:r>
        <w:t>AOP 341 Rashodi za nabavu nefinancijske imovine</w:t>
      </w:r>
    </w:p>
    <w:p w:rsidR="00A337F1" w:rsidRDefault="00A337F1" w:rsidP="0047296B">
      <w:r>
        <w:t xml:space="preserve">Zbog provođenja </w:t>
      </w:r>
      <w:proofErr w:type="spellStart"/>
      <w:r>
        <w:t>Kurikularne</w:t>
      </w:r>
      <w:proofErr w:type="spellEnd"/>
      <w:r>
        <w:t xml:space="preserve"> reforme ulaganja u nefinancijsku imovine znatno su veća nego 2018.</w:t>
      </w:r>
    </w:p>
    <w:p w:rsidR="00A337F1" w:rsidRPr="0047296B" w:rsidRDefault="00A337F1" w:rsidP="0047296B">
      <w:r>
        <w:t>Većim dijelom imovina je financirana od strane MZOS.</w:t>
      </w:r>
    </w:p>
    <w:p w:rsidR="0047296B" w:rsidRDefault="0047296B"/>
    <w:p w:rsidR="00996E8A" w:rsidRDefault="00996E8A">
      <w:r>
        <w:t>U Petrovskom, 9.7.2019.</w:t>
      </w:r>
    </w:p>
    <w:p w:rsidR="00996E8A" w:rsidRDefault="00996E8A">
      <w:r>
        <w:t>Osoba za kontakt: Ivana Horvat</w:t>
      </w:r>
    </w:p>
    <w:p w:rsidR="00996E8A" w:rsidRDefault="00996E8A">
      <w:r>
        <w:t>Broj telefona: 049 300-717</w:t>
      </w:r>
    </w:p>
    <w:p w:rsidR="00996E8A" w:rsidRDefault="00996E8A">
      <w:r>
        <w:t>Odgovorna osoba: Andrijana Osredečki, ravnateljica</w:t>
      </w:r>
    </w:p>
    <w:p w:rsidR="00996E8A" w:rsidRDefault="00996E8A">
      <w:r>
        <w:t>___________________________</w:t>
      </w:r>
      <w:r w:rsidR="00503B66" w:rsidRPr="00503B66">
        <w:rPr>
          <w:noProof/>
          <w:lang w:eastAsia="hr-HR"/>
        </w:rPr>
        <w:drawing>
          <wp:inline distT="0" distB="0" distL="0" distR="0" wp14:anchorId="0D4FDCC9" wp14:editId="4BD5C610">
            <wp:extent cx="713931" cy="581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39" cy="59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4B"/>
    <w:rsid w:val="00001A07"/>
    <w:rsid w:val="00095DBF"/>
    <w:rsid w:val="00394133"/>
    <w:rsid w:val="0047296B"/>
    <w:rsid w:val="00503B66"/>
    <w:rsid w:val="0065444B"/>
    <w:rsid w:val="008012A7"/>
    <w:rsid w:val="008B7E69"/>
    <w:rsid w:val="008D39C2"/>
    <w:rsid w:val="00996E8A"/>
    <w:rsid w:val="00A3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21B4"/>
  <w15:chartTrackingRefBased/>
  <w15:docId w15:val="{FE84EBE4-8203-4582-B391-B3C10B50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4B"/>
    <w:pPr>
      <w:spacing w:after="0" w:line="360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6E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Petrovsko</dc:creator>
  <cp:keywords/>
  <dc:description/>
  <cp:lastModifiedBy>Škola Petrovsko</cp:lastModifiedBy>
  <cp:revision>7</cp:revision>
  <cp:lastPrinted>2019-07-08T11:49:00Z</cp:lastPrinted>
  <dcterms:created xsi:type="dcterms:W3CDTF">2019-07-08T10:55:00Z</dcterms:created>
  <dcterms:modified xsi:type="dcterms:W3CDTF">2019-07-16T09:16:00Z</dcterms:modified>
</cp:coreProperties>
</file>